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FFAE" w14:textId="77777777" w:rsidR="009E7A5E" w:rsidRPr="009E7A5E" w:rsidRDefault="009E7A5E" w:rsidP="009E7A5E">
      <w:pPr>
        <w:jc w:val="center"/>
        <w:rPr>
          <w:b/>
          <w:bCs/>
          <w:lang w:val="el-GR"/>
        </w:rPr>
      </w:pPr>
      <w:proofErr w:type="spellStart"/>
      <w:r w:rsidRPr="009E7A5E">
        <w:rPr>
          <w:b/>
          <w:bCs/>
          <w:lang w:val="el-GR"/>
        </w:rPr>
        <w:t>Αυτεξαιρέσεις</w:t>
      </w:r>
      <w:proofErr w:type="spellEnd"/>
      <w:r w:rsidRPr="009E7A5E">
        <w:rPr>
          <w:b/>
          <w:bCs/>
          <w:lang w:val="el-GR"/>
        </w:rPr>
        <w:t xml:space="preserve"> (</w:t>
      </w:r>
      <w:r w:rsidRPr="009E7A5E">
        <w:rPr>
          <w:b/>
          <w:bCs/>
        </w:rPr>
        <w:t>opt</w:t>
      </w:r>
      <w:r w:rsidRPr="009E7A5E">
        <w:rPr>
          <w:b/>
          <w:bCs/>
          <w:lang w:val="el-GR"/>
        </w:rPr>
        <w:t>-</w:t>
      </w:r>
      <w:r w:rsidRPr="009E7A5E">
        <w:rPr>
          <w:b/>
          <w:bCs/>
        </w:rPr>
        <w:t>out</w:t>
      </w:r>
      <w:r w:rsidRPr="009E7A5E">
        <w:rPr>
          <w:b/>
          <w:bCs/>
          <w:lang w:val="el-GR"/>
        </w:rPr>
        <w:t>)</w:t>
      </w:r>
    </w:p>
    <w:p w14:paraId="1F7AE9CF" w14:textId="77777777" w:rsidR="009E7A5E" w:rsidRDefault="009E7A5E" w:rsidP="00FF16C3">
      <w:pPr>
        <w:jc w:val="both"/>
        <w:rPr>
          <w:lang w:val="el-GR"/>
        </w:rPr>
      </w:pPr>
    </w:p>
    <w:p w14:paraId="4602B1D4" w14:textId="764283B0" w:rsidR="00FF16C3" w:rsidRDefault="00FF16C3" w:rsidP="00FF16C3">
      <w:pPr>
        <w:jc w:val="both"/>
        <w:rPr>
          <w:lang w:val="el-GR"/>
        </w:rPr>
      </w:pPr>
      <w:r>
        <w:rPr>
          <w:lang w:val="el-GR"/>
        </w:rPr>
        <w:t xml:space="preserve">Η συνθήκη της ΕΟΚ (και αργότερα η Συνθήκη για την Ε.Ε.) είναι μια συνθήκη που αντίθετα από τις περισσότερες διεθνείς συνθήκες δεν επιτρέπει επιφυλάξεις, δηλαδή </w:t>
      </w:r>
      <w:r w:rsidR="009E7A5E" w:rsidRPr="009E7A5E">
        <w:rPr>
          <w:lang w:val="el-GR"/>
        </w:rPr>
        <w:t xml:space="preserve">  </w:t>
      </w:r>
      <w:r w:rsidR="009E7A5E">
        <w:rPr>
          <w:lang w:val="el-GR"/>
        </w:rPr>
        <w:t xml:space="preserve">δεν παρέχει </w:t>
      </w:r>
      <w:r>
        <w:rPr>
          <w:lang w:val="el-GR"/>
        </w:rPr>
        <w:t xml:space="preserve">το δικαίωμα </w:t>
      </w:r>
      <w:r w:rsidR="009E7A5E">
        <w:rPr>
          <w:lang w:val="el-GR"/>
        </w:rPr>
        <w:t>σε</w:t>
      </w:r>
      <w:r>
        <w:rPr>
          <w:lang w:val="el-GR"/>
        </w:rPr>
        <w:t xml:space="preserve"> ένα συμβαλλόμενο κράτος να μην εφαρμόζει μια διάταξή της. Με άλλα λόγια τα κράτη μέλη που προσχωρούν στην ΕΟΚ (και στην ΕΕ) δεν μπορούν να μην εφαρμόζουν κάποιες διατάξεις της (μπορούν, μεταβατικά, να μην εφαρμόζουν κάποιες διατάξεις για ένα συγκεκριμένο διάστημα ώστε να προσαρμοσθούν στο κοινοτικό κεκτημένο). </w:t>
      </w:r>
      <w:r w:rsidR="009E7A5E">
        <w:rPr>
          <w:lang w:val="el-GR"/>
        </w:rPr>
        <w:t>Τα</w:t>
      </w:r>
      <w:r>
        <w:rPr>
          <w:lang w:val="el-GR"/>
        </w:rPr>
        <w:t xml:space="preserve"> κράτη μέλη της ΕΕ είναι υποχρεωμένα να εφαρμόζουν όλες τις διατάξεις της Συνθήκης. </w:t>
      </w:r>
    </w:p>
    <w:p w14:paraId="1C22B36F" w14:textId="77777777" w:rsidR="00FF16C3" w:rsidRDefault="00FF16C3">
      <w:pPr>
        <w:rPr>
          <w:lang w:val="el-GR"/>
        </w:rPr>
      </w:pPr>
    </w:p>
    <w:p w14:paraId="7D969294" w14:textId="1B08AD83" w:rsidR="006B4565" w:rsidRDefault="00FF16C3" w:rsidP="00E2590D">
      <w:pPr>
        <w:jc w:val="both"/>
        <w:rPr>
          <w:lang w:val="el-GR"/>
        </w:rPr>
      </w:pPr>
      <w:r>
        <w:rPr>
          <w:lang w:val="el-GR"/>
        </w:rPr>
        <w:t>Κατά τη διαπραγμάτευση της Συνθήκης του Μάαστριχτ, διαπιστώθηκε πως ορισμένα κράτη μέλη (Ηνωμένο Βασίλειο και Δανία) δεν επιθυμούσαν την Οικονομική και Νομισματική Ένωση θέλοντας να διατηρήσουν το εθνικό τους νόμισμα</w:t>
      </w:r>
      <w:r w:rsidR="009E7A5E">
        <w:rPr>
          <w:lang w:val="el-GR"/>
        </w:rPr>
        <w:t xml:space="preserve"> και η θέση αυτή ήταν αδιαπραγμάτευτη</w:t>
      </w:r>
      <w:r>
        <w:rPr>
          <w:lang w:val="el-GR"/>
        </w:rPr>
        <w:t xml:space="preserve">. Τούτο θα σήμαινε ότι, με δεδομένο ότι η τροποποίηση της συνθήκης απαιτεί ομοφωνία, το σχέδιο δεν θα προχωρούσε. Για να αποφευχθεί τούτο τα κράτη συμφώνησαν να ενσωματώσουν (για πρώτη φορά στην ιστορία της ενοποίησης) μια ρήτρα </w:t>
      </w:r>
      <w:proofErr w:type="spellStart"/>
      <w:r>
        <w:rPr>
          <w:lang w:val="el-GR"/>
        </w:rPr>
        <w:t>αυτεξαίρεσης</w:t>
      </w:r>
      <w:proofErr w:type="spellEnd"/>
      <w:r>
        <w:rPr>
          <w:lang w:val="el-GR"/>
        </w:rPr>
        <w:t xml:space="preserve"> (</w:t>
      </w:r>
      <w:r>
        <w:t>opt</w:t>
      </w:r>
      <w:r w:rsidRPr="00FF16C3">
        <w:rPr>
          <w:lang w:val="el-GR"/>
        </w:rPr>
        <w:t>-</w:t>
      </w:r>
      <w:r>
        <w:t>out</w:t>
      </w:r>
      <w:r w:rsidRPr="00FF16C3">
        <w:rPr>
          <w:lang w:val="el-GR"/>
        </w:rPr>
        <w:t xml:space="preserve">) </w:t>
      </w:r>
      <w:r>
        <w:rPr>
          <w:lang w:val="el-GR"/>
        </w:rPr>
        <w:t xml:space="preserve">των συγκεκριμένων κρατών </w:t>
      </w:r>
      <w:r w:rsidR="00E2590D">
        <w:rPr>
          <w:lang w:val="el-GR"/>
        </w:rPr>
        <w:t xml:space="preserve">από τις διατάξεις για την ΟΝΕ. Αυτό σημαίνει ότι στη συνθήκη εντάχθηκε ένα πρωτόκολλο (περισσότερα στην πράξη) που επιτρέπουν στα κράτη αυτά να μην μετέχουν και να μην δεσμεύονται από τις νομικές πράξεις που ως βάση τους έχουν τις διατάξεις για την ΟΝΕ (π.χ. </w:t>
      </w:r>
      <w:r w:rsidR="006B4565">
        <w:rPr>
          <w:lang w:val="el-GR"/>
        </w:rPr>
        <w:t>κάποιον</w:t>
      </w:r>
      <w:r w:rsidR="00E2590D">
        <w:rPr>
          <w:lang w:val="el-GR"/>
        </w:rPr>
        <w:t xml:space="preserve"> κανονισμό για τη</w:t>
      </w:r>
      <w:r w:rsidR="006B4565">
        <w:rPr>
          <w:lang w:val="el-GR"/>
        </w:rPr>
        <w:t xml:space="preserve">ν δημοσιονομική εποπτεία). </w:t>
      </w:r>
      <w:r w:rsidR="00E9019D">
        <w:rPr>
          <w:lang w:val="el-GR"/>
        </w:rPr>
        <w:t xml:space="preserve">Επιπρόσθετα η βρετανική κυβέρνηση ζήτησε και πέτυχε να έχει τη δυνατότητα μη συμμετοχής και στους τομείς </w:t>
      </w:r>
      <w:r w:rsidR="009E7A5E">
        <w:rPr>
          <w:lang w:val="el-GR"/>
        </w:rPr>
        <w:t xml:space="preserve">της συμφωνίας </w:t>
      </w:r>
      <w:proofErr w:type="spellStart"/>
      <w:r w:rsidR="009E7A5E">
        <w:rPr>
          <w:lang w:val="el-GR"/>
        </w:rPr>
        <w:t>Σέγκεν</w:t>
      </w:r>
      <w:proofErr w:type="spellEnd"/>
      <w:r w:rsidR="009E7A5E">
        <w:rPr>
          <w:lang w:val="el-GR"/>
        </w:rPr>
        <w:t xml:space="preserve"> (μέτρα για την </w:t>
      </w:r>
      <w:r w:rsidR="00E9019D">
        <w:rPr>
          <w:lang w:val="el-GR"/>
        </w:rPr>
        <w:t>ελεύθερη κυκλοφορία</w:t>
      </w:r>
      <w:r w:rsidR="009E7A5E">
        <w:rPr>
          <w:lang w:val="el-GR"/>
        </w:rPr>
        <w:t>)</w:t>
      </w:r>
      <w:r w:rsidR="00E9019D">
        <w:rPr>
          <w:lang w:val="el-GR"/>
        </w:rPr>
        <w:t xml:space="preserve">, της κοινωνικής πολιτικής (καταργήθηκε από την μεταγενέστερη Εργατική κυβέρνηση του Τόνυ </w:t>
      </w:r>
      <w:proofErr w:type="spellStart"/>
      <w:r w:rsidR="00E9019D">
        <w:rPr>
          <w:lang w:val="el-GR"/>
        </w:rPr>
        <w:t>Μπλαίρ</w:t>
      </w:r>
      <w:proofErr w:type="spellEnd"/>
      <w:r w:rsidR="00E9019D">
        <w:rPr>
          <w:lang w:val="el-GR"/>
        </w:rPr>
        <w:t>) και τα θέματα δικαιοσύνης και εσωτερικών υποθέσεων (τον 3</w:t>
      </w:r>
      <w:r w:rsidR="00E9019D" w:rsidRPr="00E9019D">
        <w:rPr>
          <w:vertAlign w:val="superscript"/>
          <w:lang w:val="el-GR"/>
        </w:rPr>
        <w:t>ο</w:t>
      </w:r>
      <w:r w:rsidR="00E9019D">
        <w:rPr>
          <w:lang w:val="el-GR"/>
        </w:rPr>
        <w:t xml:space="preserve"> πυλώνα)</w:t>
      </w:r>
      <w:r w:rsidR="009E7A5E">
        <w:rPr>
          <w:lang w:val="el-GR"/>
        </w:rPr>
        <w:t xml:space="preserve">. Ωστόσο η χώρα είχε τη δυνατότητα, εφόσον το επέλεγε, να μετάσχει σε δράσεις και νομοθετικά κείμενα (άρα να δεσμεύεται από αυτά) στους τομείς του </w:t>
      </w:r>
      <w:proofErr w:type="spellStart"/>
      <w:r w:rsidR="009E7A5E">
        <w:rPr>
          <w:lang w:val="el-GR"/>
        </w:rPr>
        <w:t>Σέγκεν</w:t>
      </w:r>
      <w:proofErr w:type="spellEnd"/>
      <w:r w:rsidR="009E7A5E">
        <w:rPr>
          <w:lang w:val="el-GR"/>
        </w:rPr>
        <w:t xml:space="preserve"> και της δικαιοσύνης και εσωτερικών υποθέσεων (</w:t>
      </w:r>
      <w:r w:rsidR="009E7A5E">
        <w:t>opt</w:t>
      </w:r>
      <w:r w:rsidR="009E7A5E" w:rsidRPr="009E7A5E">
        <w:rPr>
          <w:lang w:val="el-GR"/>
        </w:rPr>
        <w:t>-</w:t>
      </w:r>
      <w:r w:rsidR="009E7A5E">
        <w:t>in</w:t>
      </w:r>
      <w:r w:rsidR="009E7A5E">
        <w:rPr>
          <w:lang w:val="el-GR"/>
        </w:rPr>
        <w:t xml:space="preserve"> δηλαδή δικαίωμα να συμμετέχουν). Όταν, το 2009 με τη Συνθήκη της </w:t>
      </w:r>
      <w:proofErr w:type="spellStart"/>
      <w:r w:rsidR="009E7A5E">
        <w:rPr>
          <w:lang w:val="el-GR"/>
        </w:rPr>
        <w:t>Λισσαβώνας</w:t>
      </w:r>
      <w:proofErr w:type="spellEnd"/>
      <w:r w:rsidR="009E7A5E">
        <w:rPr>
          <w:lang w:val="el-GR"/>
        </w:rPr>
        <w:t xml:space="preserve">, ο Χάρτης Θεμελιωδών Ελευθεριών της ΕΕ έγινε δεσμευτικό κείμενο, η Βρετανία (και η Πολωνία) ζήτησαν να μην δεσμεύει ο Χάρτης εθνικές αποφάσεις τους. </w:t>
      </w:r>
    </w:p>
    <w:p w14:paraId="167A4667" w14:textId="6BEBADF7" w:rsidR="009E7A5E" w:rsidRDefault="009E7A5E" w:rsidP="00E2590D">
      <w:pPr>
        <w:jc w:val="both"/>
        <w:rPr>
          <w:lang w:val="el-GR"/>
        </w:rPr>
      </w:pPr>
    </w:p>
    <w:p w14:paraId="4B7DC0AF" w14:textId="3BADB773" w:rsidR="009E7A5E" w:rsidRPr="009E7A5E" w:rsidRDefault="009E7A5E" w:rsidP="00E2590D">
      <w:pPr>
        <w:jc w:val="both"/>
        <w:rPr>
          <w:lang w:val="el-GR"/>
        </w:rPr>
      </w:pPr>
      <w:r>
        <w:rPr>
          <w:lang w:val="el-GR"/>
        </w:rPr>
        <w:t xml:space="preserve">Σε ό, τι αφορά την ΟΝΕ όλα τα άλλα κράτη μέλη υποχρεούνται, όταν εκπληρώνουν τα κριτήρια σύγκλισης (κριτήρια του Μάαστριχτ) να ενταχθούν στην ΟΝΕ, η Συνθήκη ωστόσο δεν θέτει ωστόσο συγκεκριμένες προθεσμίες. Αυτή τη στιγμή, η Σουηδία, με δημοψήφισμά της το 2003 αποφάσισε να μην υιοθετήσει, προς το παρόν, το ευρώ και δεν μετέχει στον Μηχανισμό Συναλλαγματικών Ισοτιμιών. Άλλες χώρες της Ανατολικής Ευρώπης (Κροατία, Βουλγαρία </w:t>
      </w:r>
      <w:proofErr w:type="spellStart"/>
      <w:r>
        <w:rPr>
          <w:lang w:val="el-GR"/>
        </w:rPr>
        <w:t>κλπ</w:t>
      </w:r>
      <w:proofErr w:type="spellEnd"/>
      <w:r>
        <w:rPr>
          <w:lang w:val="el-GR"/>
        </w:rPr>
        <w:t xml:space="preserve">) έχουν δηλώσει ότι θέλουν να ενταχθούν (όταν πληρούν τα κριτήρια) ενώ η Πολωνία και Τσεχική Δημοκρατία έχουν δηλώσει ότι προς το παρόν δεν θα υποβάλουν σχετικό αίτημα.  </w:t>
      </w:r>
    </w:p>
    <w:p w14:paraId="6311722F" w14:textId="77777777" w:rsidR="006B4565" w:rsidRDefault="006B4565" w:rsidP="00E2590D">
      <w:pPr>
        <w:jc w:val="both"/>
        <w:rPr>
          <w:lang w:val="el-GR"/>
        </w:rPr>
      </w:pPr>
    </w:p>
    <w:p w14:paraId="6ACEDA64" w14:textId="7D179104" w:rsidR="0069548A" w:rsidRDefault="006B4565" w:rsidP="00E2590D">
      <w:pPr>
        <w:jc w:val="both"/>
        <w:rPr>
          <w:lang w:val="el-GR"/>
        </w:rPr>
      </w:pPr>
      <w:r>
        <w:rPr>
          <w:lang w:val="el-GR"/>
        </w:rPr>
        <w:t>Το</w:t>
      </w:r>
      <w:r w:rsidR="00E2590D">
        <w:rPr>
          <w:lang w:val="el-GR"/>
        </w:rPr>
        <w:t xml:space="preserve">ν </w:t>
      </w:r>
      <w:r>
        <w:rPr>
          <w:lang w:val="el-GR"/>
        </w:rPr>
        <w:t xml:space="preserve">Ιούνιο του 1992, οι πολίτες της Δανίας σε δημοψήφισμα απέρριψαν τη Συνθήκη του Μάαστριχτ με αποτέλεσμα να τεθεί θέμα για την θέση της σε ισχύ. Μετά από αυτό τα κράτη μέλη στη σύνοδο κορυφής του Εδιμβούργου τον Δεκέμβριο του 1992 δέχθηκαν τις προτάσεις της Δανίας να εξαιρεθεί και από μια σειρά άλλων νέων τομέων δράσης της ΕΕ που είχαν υπερεθνικά χαρακτηριστικά (θεωρήθηκε ότι ο λόγος του αρνητικού δ/ψ ήταν ότι οι Δανοί ψηφοφόροι δεν ήθελαν η χώρα να απωλέσει κυριαρχία σε ορισμένους τομείς υψηλής πολιτικής </w:t>
      </w:r>
      <w:r>
        <w:rPr>
          <w:lang w:val="el-GR"/>
        </w:rPr>
        <w:lastRenderedPageBreak/>
        <w:t xml:space="preserve">όπως η άμυνα, η ιθαγένεια κ.α.). Έτσι με την συμφωνία του Εδιμβούργου τροποποιήθηκε εν νέου η  Συνθήκη του Μάαστριχτ και η Δανία έχει πλέον το δικαίωμα να μην συμμετέχει σε 4 τομείς πολιτικής </w:t>
      </w:r>
      <w:r w:rsidR="00FF16C3">
        <w:rPr>
          <w:lang w:val="el-GR"/>
        </w:rPr>
        <w:t xml:space="preserve">της ΕΕ </w:t>
      </w:r>
      <w:r>
        <w:rPr>
          <w:lang w:val="el-GR"/>
        </w:rPr>
        <w:t>(πέραν της ΟΝΕ, την πολιτική άμυνας, τα μέτρα σχετικά με την ευρωπαϊκή ιθαγένεια</w:t>
      </w:r>
      <w:r w:rsidR="002B04D3">
        <w:rPr>
          <w:lang w:val="el-GR"/>
        </w:rPr>
        <w:t xml:space="preserve"> και</w:t>
      </w:r>
      <w:r>
        <w:rPr>
          <w:lang w:val="el-GR"/>
        </w:rPr>
        <w:t xml:space="preserve"> τ</w:t>
      </w:r>
      <w:r w:rsidR="002B04D3">
        <w:rPr>
          <w:lang w:val="el-GR"/>
        </w:rPr>
        <w:t xml:space="preserve">ον τομέα της δικαιοσύνης και εσωτερικών υποθέσεων). Εφόσον η χώρα θέλει να μετέχει σε ένα συγκεκριμένο μέτρο (πχ τις πολιτικές για το άσυλο) μπορεί να εγκρίνει, εθνικά, ένα νόμο που θα είναι ίδιος με το νομοθετικό κείμενο της Ένωσης αλλά η βάση του θα είναι η απόφαση της δανικής βουλής – όχι η απόφαση στο Συμβούλιο των Υπουργών της ΕΕ. </w:t>
      </w:r>
    </w:p>
    <w:p w14:paraId="0C233400" w14:textId="3D8EAD0E" w:rsidR="00CB6878" w:rsidRDefault="00CB6878" w:rsidP="00E2590D">
      <w:pPr>
        <w:jc w:val="both"/>
        <w:rPr>
          <w:lang w:val="el-GR"/>
        </w:rPr>
      </w:pPr>
    </w:p>
    <w:p w14:paraId="2591CFC0" w14:textId="4B17D4A4" w:rsidR="00CB6878" w:rsidRPr="00D567BE" w:rsidRDefault="00D567BE" w:rsidP="00E2590D">
      <w:pPr>
        <w:jc w:val="both"/>
        <w:rPr>
          <w:lang w:val="el-GR"/>
        </w:rPr>
      </w:pPr>
      <w:r>
        <w:rPr>
          <w:lang w:val="el-GR"/>
        </w:rPr>
        <w:t xml:space="preserve">Οι ειδικές αυτές εξαιρέσεις ρυθμίζονται από μια σειρά πρωτοκόλλων: </w:t>
      </w:r>
    </w:p>
    <w:p w14:paraId="5E121585" w14:textId="76D06EB2" w:rsidR="00E2590D" w:rsidRDefault="00E2590D" w:rsidP="00E2590D">
      <w:pPr>
        <w:jc w:val="both"/>
        <w:rPr>
          <w:lang w:val="el-GR"/>
        </w:rPr>
      </w:pPr>
    </w:p>
    <w:p w14:paraId="0471F02F" w14:textId="1B6E0F93" w:rsidR="00E2590D" w:rsidRDefault="00E2590D" w:rsidP="00E2590D">
      <w:pPr>
        <w:jc w:val="both"/>
        <w:rPr>
          <w:lang w:val="el-GR"/>
        </w:rPr>
      </w:pPr>
      <w:r>
        <w:rPr>
          <w:lang w:val="el-GR"/>
        </w:rPr>
        <w:t>Πρωτόκολλο 16. Η Δανία δεν μετέχει στην 3</w:t>
      </w:r>
      <w:r w:rsidRPr="00E2590D">
        <w:rPr>
          <w:vertAlign w:val="superscript"/>
          <w:lang w:val="el-GR"/>
        </w:rPr>
        <w:t>η</w:t>
      </w:r>
      <w:r>
        <w:rPr>
          <w:lang w:val="el-GR"/>
        </w:rPr>
        <w:t xml:space="preserve"> φάση της ΟΝΕ. Μπορεί να ζητήσει να μετάσχει οποτεδήποτε, εφόσον πληροί τα σχετικά κριτήρια. </w:t>
      </w:r>
    </w:p>
    <w:p w14:paraId="685848ED" w14:textId="0E15A17C" w:rsidR="00E2590D" w:rsidRPr="00E9019D" w:rsidRDefault="00E2590D" w:rsidP="00E2590D">
      <w:pPr>
        <w:jc w:val="both"/>
        <w:rPr>
          <w:lang w:val="el-GR"/>
        </w:rPr>
      </w:pPr>
      <w:r>
        <w:rPr>
          <w:lang w:val="el-GR"/>
        </w:rPr>
        <w:t>Πρωτόκολλο 20. Το Ηνωμένο Βασίλειο και η Ιρλανδία μπορούν να συνεχίσουν να επιβάλλουν ελέγχους στα σύνορ</w:t>
      </w:r>
      <w:r w:rsidR="006B4565">
        <w:rPr>
          <w:lang w:val="el-GR"/>
        </w:rPr>
        <w:t>ά τους.</w:t>
      </w:r>
      <w:r w:rsidR="00E9019D" w:rsidRPr="00E9019D">
        <w:rPr>
          <w:lang w:val="el-GR"/>
        </w:rPr>
        <w:t xml:space="preserve"> </w:t>
      </w:r>
      <w:r w:rsidR="00E9019D">
        <w:rPr>
          <w:lang w:val="el-GR"/>
        </w:rPr>
        <w:t xml:space="preserve">Ο λόγος της </w:t>
      </w:r>
      <w:proofErr w:type="spellStart"/>
      <w:r w:rsidR="00E9019D">
        <w:rPr>
          <w:lang w:val="el-GR"/>
        </w:rPr>
        <w:t>αυτεξαίρεσης</w:t>
      </w:r>
      <w:proofErr w:type="spellEnd"/>
      <w:r w:rsidR="00E9019D">
        <w:rPr>
          <w:lang w:val="el-GR"/>
        </w:rPr>
        <w:t xml:space="preserve"> αυτής ήταν για το Η.Β. η επιθυμία να συνεχίσει να ελέγχει την είσοδο στην επικράτειά του. Η Ιρλανδία ‘αναγκάστηκε΄ να υπαχθεί σε αυτή τη ρύθμιση για να μπορεί να διατηρεί την </w:t>
      </w:r>
      <w:r w:rsidR="00E9019D">
        <w:t>Common</w:t>
      </w:r>
      <w:r w:rsidR="00E9019D" w:rsidRPr="00E9019D">
        <w:rPr>
          <w:lang w:val="el-GR"/>
        </w:rPr>
        <w:t xml:space="preserve"> </w:t>
      </w:r>
      <w:r w:rsidR="00E9019D">
        <w:t>Travel</w:t>
      </w:r>
      <w:r w:rsidR="00E9019D" w:rsidRPr="00E9019D">
        <w:rPr>
          <w:lang w:val="el-GR"/>
        </w:rPr>
        <w:t xml:space="preserve"> </w:t>
      </w:r>
      <w:r w:rsidR="00E9019D">
        <w:t>Area</w:t>
      </w:r>
      <w:r w:rsidR="00E9019D" w:rsidRPr="00E9019D">
        <w:rPr>
          <w:lang w:val="el-GR"/>
        </w:rPr>
        <w:t xml:space="preserve"> </w:t>
      </w:r>
      <w:r w:rsidR="00E9019D">
        <w:rPr>
          <w:lang w:val="el-GR"/>
        </w:rPr>
        <w:t xml:space="preserve">(κοινό χώρο μετακινήσεων) με το Ηνωμένο Βασίλειο που επιτρέπει στους Ιρλανδούς και Βρετανούς πολίτες (ιδίως στους </w:t>
      </w:r>
      <w:proofErr w:type="spellStart"/>
      <w:r w:rsidR="00E9019D">
        <w:rPr>
          <w:lang w:val="el-GR"/>
        </w:rPr>
        <w:t>Βορειοιρλανδούς</w:t>
      </w:r>
      <w:proofErr w:type="spellEnd"/>
      <w:r w:rsidR="00E9019D">
        <w:rPr>
          <w:lang w:val="el-GR"/>
        </w:rPr>
        <w:t xml:space="preserve">) να κυκλοφορούν στο εσωτερικό των δύο κρατών χωρίς ελέγχους στα σύνορα (αλλιώς η Ιρλανδία θα έπρεπε να ελέγχει τους πολίτες που έρχονταν πχ από το Μπέλφαστ στο Δουβλίνο). Η αποχώρηση του Ηνωμένου Βασιλείου από την ΕΕ δεν αλλάζει την κατάσταση για την Ιρλανδία. </w:t>
      </w:r>
    </w:p>
    <w:p w14:paraId="0707D7B2" w14:textId="2A8DD1D3" w:rsidR="00E2590D" w:rsidRDefault="00E2590D" w:rsidP="00E2590D">
      <w:pPr>
        <w:jc w:val="both"/>
        <w:rPr>
          <w:lang w:val="el-GR"/>
        </w:rPr>
      </w:pPr>
      <w:r>
        <w:rPr>
          <w:lang w:val="el-GR"/>
        </w:rPr>
        <w:t xml:space="preserve">Πρωτόκολλο 21. Το Ηνωμένο Βασίλειο και η Ιρλανδία μπορούν να μην συμμετέχουν σε μέτρα που λαμβάνονται και αφορούν τον </w:t>
      </w:r>
      <w:r w:rsidR="006B4565">
        <w:rPr>
          <w:lang w:val="el-GR"/>
        </w:rPr>
        <w:t>τότε γνωστό ως 3</w:t>
      </w:r>
      <w:r w:rsidR="006B4565" w:rsidRPr="006B4565">
        <w:rPr>
          <w:vertAlign w:val="superscript"/>
          <w:lang w:val="el-GR"/>
        </w:rPr>
        <w:t>ο</w:t>
      </w:r>
      <w:r w:rsidR="006B4565">
        <w:rPr>
          <w:lang w:val="el-GR"/>
        </w:rPr>
        <w:t xml:space="preserve"> πυλώνα (θέματα δικαιοσύνης και εσωτερικών υποθέσεων που τώρα είναι γνωστός ως Χώρος Ασφάλειας, Ελευθερίας και Δικαιοσύνης). Μέσα σε τρεις μήνες από την έγκριση ενός νομοθετικού κειμένου μπορούν, ωστόσο, </w:t>
      </w:r>
      <w:r w:rsidR="006B4565" w:rsidRPr="006B4565">
        <w:rPr>
          <w:lang w:val="el-GR"/>
        </w:rPr>
        <w:t xml:space="preserve">να γνωστοποιούν γραπτώς στον Πρόεδρο του Συμβουλίου ότι επιθυμούν να συμμετάσχουν στη θέσπιση και εφαρμογή </w:t>
      </w:r>
      <w:r w:rsidR="006B4565">
        <w:rPr>
          <w:lang w:val="el-GR"/>
        </w:rPr>
        <w:t>κάποιου ή κάποιων συγκεκριμένων μέτρων (αυτό λέγεται ο</w:t>
      </w:r>
      <w:proofErr w:type="spellStart"/>
      <w:r w:rsidR="006B4565">
        <w:t>pt</w:t>
      </w:r>
      <w:proofErr w:type="spellEnd"/>
      <w:r w:rsidR="006B4565" w:rsidRPr="006B4565">
        <w:rPr>
          <w:lang w:val="el-GR"/>
        </w:rPr>
        <w:t>-</w:t>
      </w:r>
      <w:r w:rsidR="006B4565">
        <w:t>in</w:t>
      </w:r>
      <w:r w:rsidR="006B4565" w:rsidRPr="006B4565">
        <w:rPr>
          <w:lang w:val="el-GR"/>
        </w:rPr>
        <w:t xml:space="preserve"> </w:t>
      </w:r>
      <w:r w:rsidR="006B4565">
        <w:rPr>
          <w:lang w:val="el-GR"/>
        </w:rPr>
        <w:t xml:space="preserve">δηλαδή εθελούσια συμμετοχή). </w:t>
      </w:r>
    </w:p>
    <w:p w14:paraId="71167E5F" w14:textId="5398AA8C" w:rsidR="006B4565" w:rsidRPr="00E9019D" w:rsidRDefault="006B4565" w:rsidP="006B4565">
      <w:pPr>
        <w:jc w:val="both"/>
        <w:rPr>
          <w:lang w:val="el-GR"/>
        </w:rPr>
      </w:pPr>
      <w:r>
        <w:rPr>
          <w:lang w:val="el-GR"/>
        </w:rPr>
        <w:t>Πρωτόκολλο 22. Η Δανία δεν μετέχει σε διατάξεις</w:t>
      </w:r>
      <w:r w:rsidRPr="006B4565">
        <w:rPr>
          <w:lang w:val="el-GR"/>
        </w:rPr>
        <w:t xml:space="preserve"> σχετικά με την ιθαγένεια, την Οικονομική και Νομισματική Ένωση, την αμυντική πολιτική και τη Δικαιοσύνη και Εσωτερικές Υποθέσει</w:t>
      </w:r>
      <w:r>
        <w:rPr>
          <w:lang w:val="el-GR"/>
        </w:rPr>
        <w:t xml:space="preserve">ς και δεν δεσμεύεται από τις σχετικές αποφάσεις. Αν θέλει μπορεί, μέσα σε 6 μήνες, να ενσωματώσει στο εθνικό της δίκαιο τις αποφάσεις αυτές αλλά όχι ως κοινοτική απόφαση – θα είναι μια διεθνής σύμβαση μεταξύ της Δανίας και της Ένωσης. </w:t>
      </w:r>
      <w:r w:rsidR="00E9019D">
        <w:rPr>
          <w:lang w:val="el-GR"/>
        </w:rPr>
        <w:t xml:space="preserve">Το </w:t>
      </w:r>
      <w:r w:rsidR="00E9019D">
        <w:t>opt</w:t>
      </w:r>
      <w:r w:rsidR="00E9019D" w:rsidRPr="00E9019D">
        <w:rPr>
          <w:lang w:val="el-GR"/>
        </w:rPr>
        <w:t>-</w:t>
      </w:r>
      <w:r w:rsidR="00E9019D">
        <w:t>out</w:t>
      </w:r>
      <w:r w:rsidR="00E9019D" w:rsidRPr="00E9019D">
        <w:rPr>
          <w:lang w:val="el-GR"/>
        </w:rPr>
        <w:t xml:space="preserve"> </w:t>
      </w:r>
      <w:r w:rsidR="00E9019D">
        <w:rPr>
          <w:lang w:val="el-GR"/>
        </w:rPr>
        <w:t xml:space="preserve">για την ιθαγένεια έχει </w:t>
      </w:r>
      <w:r w:rsidR="00E9019D">
        <w:t>de</w:t>
      </w:r>
      <w:r w:rsidR="00E9019D" w:rsidRPr="00E9019D">
        <w:rPr>
          <w:lang w:val="el-GR"/>
        </w:rPr>
        <w:t xml:space="preserve"> </w:t>
      </w:r>
      <w:r w:rsidR="00E9019D">
        <w:t>facto</w:t>
      </w:r>
      <w:r w:rsidR="00E9019D" w:rsidRPr="00E9019D">
        <w:rPr>
          <w:lang w:val="el-GR"/>
        </w:rPr>
        <w:t xml:space="preserve"> </w:t>
      </w:r>
      <w:r w:rsidR="00E9019D">
        <w:rPr>
          <w:lang w:val="el-GR"/>
        </w:rPr>
        <w:t xml:space="preserve">καταργηθεί με τη Συνθήκη του Άμστερνταμ. Σε ό, τι αφορά τον Χώρο Ασφάλειας, Ελευθερίας και Δικαιοσύνης (τον παλιό τομέα δικαιοσύνης και εσωτερικών υποθέσεων) η Συνθήκη της </w:t>
      </w:r>
      <w:proofErr w:type="spellStart"/>
      <w:r w:rsidR="00E9019D">
        <w:rPr>
          <w:lang w:val="el-GR"/>
        </w:rPr>
        <w:t>Λισσαβώνας</w:t>
      </w:r>
      <w:proofErr w:type="spellEnd"/>
      <w:r w:rsidR="00E9019D">
        <w:rPr>
          <w:lang w:val="el-GR"/>
        </w:rPr>
        <w:t xml:space="preserve"> έδωσε στη Δανία το δικαίωμα του ο</w:t>
      </w:r>
      <w:proofErr w:type="spellStart"/>
      <w:r w:rsidR="00E9019D">
        <w:t>pt</w:t>
      </w:r>
      <w:proofErr w:type="spellEnd"/>
      <w:r w:rsidR="00E9019D" w:rsidRPr="006B4565">
        <w:rPr>
          <w:lang w:val="el-GR"/>
        </w:rPr>
        <w:t>-</w:t>
      </w:r>
      <w:r w:rsidR="00E9019D">
        <w:t>in</w:t>
      </w:r>
      <w:r w:rsidR="00E9019D">
        <w:rPr>
          <w:lang w:val="el-GR"/>
        </w:rPr>
        <w:t xml:space="preserve"> όπως τον είχε και η Βρετανία. </w:t>
      </w:r>
    </w:p>
    <w:p w14:paraId="1DB75576" w14:textId="06FAFF45" w:rsidR="006B4565" w:rsidRDefault="006B4565" w:rsidP="00E2590D">
      <w:pPr>
        <w:jc w:val="both"/>
        <w:rPr>
          <w:lang w:val="el-GR"/>
        </w:rPr>
      </w:pPr>
    </w:p>
    <w:p w14:paraId="4B8BDB74" w14:textId="42E24255" w:rsidR="006B4565" w:rsidRPr="00CB6878" w:rsidRDefault="00CB6878" w:rsidP="00CB6878">
      <w:pPr>
        <w:jc w:val="center"/>
        <w:rPr>
          <w:b/>
          <w:bCs/>
        </w:rPr>
      </w:pPr>
      <w:r w:rsidRPr="00CB6878">
        <w:rPr>
          <w:b/>
          <w:bCs/>
        </w:rPr>
        <w:t xml:space="preserve">Opt-outs </w:t>
      </w:r>
      <w:r w:rsidRPr="00CB6878">
        <w:rPr>
          <w:b/>
          <w:bCs/>
          <w:lang w:val="el-GR"/>
        </w:rPr>
        <w:t>και</w:t>
      </w:r>
      <w:r w:rsidRPr="00CB6878">
        <w:rPr>
          <w:b/>
          <w:bCs/>
        </w:rPr>
        <w:t xml:space="preserve"> opt-ins</w:t>
      </w:r>
    </w:p>
    <w:p w14:paraId="6D892F23" w14:textId="77777777" w:rsidR="00CB6878" w:rsidRPr="00CB6878" w:rsidRDefault="00CB6878" w:rsidP="00E2590D">
      <w:pPr>
        <w:jc w:val="both"/>
        <w:rPr>
          <w:lang w:val="el-GR"/>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CB6878" w:rsidRPr="00CB6878" w14:paraId="43CAE254" w14:textId="77777777" w:rsidTr="00CB6878">
        <w:tc>
          <w:tcPr>
            <w:tcW w:w="1335" w:type="dxa"/>
          </w:tcPr>
          <w:p w14:paraId="45A421DE" w14:textId="4DFBC10E" w:rsidR="00CB6878" w:rsidRPr="00CB6878" w:rsidRDefault="00CB6878" w:rsidP="00CB6878">
            <w:pPr>
              <w:jc w:val="both"/>
              <w:rPr>
                <w:sz w:val="18"/>
                <w:szCs w:val="18"/>
                <w:lang w:val="el-GR"/>
              </w:rPr>
            </w:pPr>
            <w:r w:rsidRPr="00CB6878">
              <w:rPr>
                <w:sz w:val="18"/>
                <w:szCs w:val="18"/>
                <w:lang w:val="el-GR"/>
              </w:rPr>
              <w:t xml:space="preserve">Χώρα </w:t>
            </w:r>
          </w:p>
        </w:tc>
        <w:tc>
          <w:tcPr>
            <w:tcW w:w="1335" w:type="dxa"/>
          </w:tcPr>
          <w:p w14:paraId="44B42886" w14:textId="0C18252F" w:rsidR="00CB6878" w:rsidRPr="00CB6878" w:rsidRDefault="00CB6878" w:rsidP="00CB6878">
            <w:pPr>
              <w:jc w:val="both"/>
              <w:rPr>
                <w:sz w:val="18"/>
                <w:szCs w:val="18"/>
                <w:lang w:val="el-GR"/>
              </w:rPr>
            </w:pPr>
            <w:r w:rsidRPr="00CB6878">
              <w:rPr>
                <w:sz w:val="18"/>
                <w:szCs w:val="18"/>
                <w:lang w:val="el-GR"/>
              </w:rPr>
              <w:t>ΟΝΕ</w:t>
            </w:r>
          </w:p>
        </w:tc>
        <w:tc>
          <w:tcPr>
            <w:tcW w:w="1336" w:type="dxa"/>
          </w:tcPr>
          <w:p w14:paraId="4E838594" w14:textId="7F966D94" w:rsidR="00CB6878" w:rsidRPr="00CB6878" w:rsidRDefault="00CB6878" w:rsidP="00CB6878">
            <w:pPr>
              <w:jc w:val="both"/>
              <w:rPr>
                <w:sz w:val="18"/>
                <w:szCs w:val="18"/>
                <w:lang w:val="el-GR"/>
              </w:rPr>
            </w:pPr>
            <w:proofErr w:type="spellStart"/>
            <w:r w:rsidRPr="00CB6878">
              <w:rPr>
                <w:sz w:val="18"/>
                <w:szCs w:val="18"/>
                <w:lang w:val="el-GR"/>
              </w:rPr>
              <w:t>Σένγκεν</w:t>
            </w:r>
            <w:proofErr w:type="spellEnd"/>
          </w:p>
        </w:tc>
        <w:tc>
          <w:tcPr>
            <w:tcW w:w="1336" w:type="dxa"/>
          </w:tcPr>
          <w:p w14:paraId="26A863FF" w14:textId="1FC20236" w:rsidR="00CB6878" w:rsidRPr="00CB6878" w:rsidRDefault="00CB6878" w:rsidP="00CB6878">
            <w:pPr>
              <w:jc w:val="both"/>
              <w:rPr>
                <w:sz w:val="18"/>
                <w:szCs w:val="18"/>
              </w:rPr>
            </w:pPr>
            <w:r w:rsidRPr="00CB6878">
              <w:rPr>
                <w:sz w:val="18"/>
                <w:szCs w:val="18"/>
                <w:lang w:val="el-GR"/>
              </w:rPr>
              <w:t>Άμυνα</w:t>
            </w:r>
          </w:p>
        </w:tc>
        <w:tc>
          <w:tcPr>
            <w:tcW w:w="1336" w:type="dxa"/>
          </w:tcPr>
          <w:p w14:paraId="2510F053" w14:textId="56D3A494" w:rsidR="00CB6878" w:rsidRPr="00CB6878" w:rsidRDefault="00CB6878" w:rsidP="00CB6878">
            <w:pPr>
              <w:jc w:val="both"/>
              <w:rPr>
                <w:sz w:val="18"/>
                <w:szCs w:val="18"/>
                <w:lang w:val="el-GR"/>
              </w:rPr>
            </w:pPr>
            <w:r w:rsidRPr="00CB6878">
              <w:rPr>
                <w:sz w:val="18"/>
                <w:szCs w:val="18"/>
                <w:lang w:val="el-GR"/>
              </w:rPr>
              <w:t>Χώρος ΑΕΔ</w:t>
            </w:r>
          </w:p>
        </w:tc>
        <w:tc>
          <w:tcPr>
            <w:tcW w:w="1336" w:type="dxa"/>
          </w:tcPr>
          <w:p w14:paraId="15E06CF5" w14:textId="388066AE" w:rsidR="00CB6878" w:rsidRPr="00CB6878" w:rsidRDefault="00CB6878" w:rsidP="00CB6878">
            <w:pPr>
              <w:jc w:val="both"/>
              <w:rPr>
                <w:sz w:val="18"/>
                <w:szCs w:val="18"/>
                <w:lang w:val="el-GR"/>
              </w:rPr>
            </w:pPr>
            <w:r w:rsidRPr="00CB6878">
              <w:rPr>
                <w:sz w:val="18"/>
                <w:szCs w:val="18"/>
                <w:lang w:val="el-GR"/>
              </w:rPr>
              <w:t>Χάρτης Θεμελιωδών Ελευθεριών</w:t>
            </w:r>
          </w:p>
        </w:tc>
        <w:tc>
          <w:tcPr>
            <w:tcW w:w="1336" w:type="dxa"/>
          </w:tcPr>
          <w:p w14:paraId="5DC0AD72" w14:textId="43D9215F" w:rsidR="00CB6878" w:rsidRPr="00CB6878" w:rsidRDefault="00CB6878" w:rsidP="00CB6878">
            <w:pPr>
              <w:jc w:val="both"/>
              <w:rPr>
                <w:sz w:val="18"/>
                <w:szCs w:val="18"/>
                <w:lang w:val="el-GR"/>
              </w:rPr>
            </w:pPr>
            <w:r w:rsidRPr="00CB6878">
              <w:rPr>
                <w:sz w:val="18"/>
                <w:szCs w:val="18"/>
                <w:lang w:val="el-GR"/>
              </w:rPr>
              <w:t>Κοινωνικός Χάρτης</w:t>
            </w:r>
          </w:p>
        </w:tc>
      </w:tr>
      <w:tr w:rsidR="00CB6878" w:rsidRPr="00CB6878" w14:paraId="456AEEF3" w14:textId="77777777" w:rsidTr="00CB6878">
        <w:tc>
          <w:tcPr>
            <w:tcW w:w="1335" w:type="dxa"/>
          </w:tcPr>
          <w:p w14:paraId="59598A47" w14:textId="4B35B7B2" w:rsidR="00CB6878" w:rsidRPr="00CB6878" w:rsidRDefault="00CB6878" w:rsidP="00CB6878">
            <w:pPr>
              <w:jc w:val="both"/>
              <w:rPr>
                <w:sz w:val="18"/>
                <w:szCs w:val="18"/>
                <w:lang w:val="el-GR"/>
              </w:rPr>
            </w:pPr>
            <w:r w:rsidRPr="00CB6878">
              <w:rPr>
                <w:sz w:val="18"/>
                <w:szCs w:val="18"/>
                <w:lang w:val="el-GR"/>
              </w:rPr>
              <w:t>Ηνωμένο Βασίλειο</w:t>
            </w:r>
          </w:p>
        </w:tc>
        <w:tc>
          <w:tcPr>
            <w:tcW w:w="1335" w:type="dxa"/>
          </w:tcPr>
          <w:p w14:paraId="5B1AB6DC" w14:textId="2078383A" w:rsidR="00CB6878" w:rsidRPr="00CB6878" w:rsidRDefault="00CB6878" w:rsidP="00CB6878">
            <w:pPr>
              <w:jc w:val="both"/>
              <w:rPr>
                <w:sz w:val="18"/>
                <w:szCs w:val="18"/>
              </w:rPr>
            </w:pPr>
            <w:proofErr w:type="spellStart"/>
            <w:r w:rsidRPr="00CB6878">
              <w:rPr>
                <w:sz w:val="18"/>
                <w:szCs w:val="18"/>
              </w:rPr>
              <w:t>Opt</w:t>
            </w:r>
            <w:proofErr w:type="spellEnd"/>
            <w:r w:rsidRPr="00CB6878">
              <w:rPr>
                <w:sz w:val="18"/>
                <w:szCs w:val="18"/>
              </w:rPr>
              <w:t xml:space="preserve"> out</w:t>
            </w:r>
          </w:p>
        </w:tc>
        <w:tc>
          <w:tcPr>
            <w:tcW w:w="1336" w:type="dxa"/>
          </w:tcPr>
          <w:p w14:paraId="2AE5F36F" w14:textId="4076AF31" w:rsidR="00CB6878" w:rsidRPr="00CB6878" w:rsidRDefault="00CB6878" w:rsidP="00CB6878">
            <w:pPr>
              <w:jc w:val="both"/>
              <w:rPr>
                <w:sz w:val="18"/>
                <w:szCs w:val="18"/>
              </w:rPr>
            </w:pPr>
            <w:proofErr w:type="spellStart"/>
            <w:r w:rsidRPr="00CB6878">
              <w:rPr>
                <w:sz w:val="18"/>
                <w:szCs w:val="18"/>
              </w:rPr>
              <w:t>Opt</w:t>
            </w:r>
            <w:proofErr w:type="spellEnd"/>
            <w:r w:rsidRPr="00CB6878">
              <w:rPr>
                <w:sz w:val="18"/>
                <w:szCs w:val="18"/>
              </w:rPr>
              <w:t xml:space="preserve"> out (</w:t>
            </w:r>
            <w:r w:rsidRPr="00CB6878">
              <w:rPr>
                <w:sz w:val="18"/>
                <w:szCs w:val="18"/>
                <w:lang w:val="el-GR"/>
              </w:rPr>
              <w:t>και</w:t>
            </w:r>
            <w:r w:rsidRPr="00CB6878">
              <w:rPr>
                <w:sz w:val="18"/>
                <w:szCs w:val="18"/>
              </w:rPr>
              <w:t xml:space="preserve"> opt-in)</w:t>
            </w:r>
          </w:p>
        </w:tc>
        <w:tc>
          <w:tcPr>
            <w:tcW w:w="1336" w:type="dxa"/>
          </w:tcPr>
          <w:p w14:paraId="52B8B72D" w14:textId="77777777" w:rsidR="00CB6878" w:rsidRPr="00CB6878" w:rsidRDefault="00CB6878" w:rsidP="00CB6878">
            <w:pPr>
              <w:jc w:val="both"/>
              <w:rPr>
                <w:sz w:val="18"/>
                <w:szCs w:val="18"/>
              </w:rPr>
            </w:pPr>
          </w:p>
        </w:tc>
        <w:tc>
          <w:tcPr>
            <w:tcW w:w="1336" w:type="dxa"/>
          </w:tcPr>
          <w:p w14:paraId="135808A0" w14:textId="723CFAE9" w:rsidR="00CB6878" w:rsidRPr="00CB6878" w:rsidRDefault="00CB6878" w:rsidP="00CB6878">
            <w:pPr>
              <w:jc w:val="both"/>
              <w:rPr>
                <w:sz w:val="18"/>
                <w:szCs w:val="18"/>
              </w:rPr>
            </w:pPr>
            <w:proofErr w:type="spellStart"/>
            <w:r w:rsidRPr="00CB6878">
              <w:rPr>
                <w:sz w:val="18"/>
                <w:szCs w:val="18"/>
              </w:rPr>
              <w:t>Opt</w:t>
            </w:r>
            <w:proofErr w:type="spellEnd"/>
            <w:r w:rsidRPr="00CB6878">
              <w:rPr>
                <w:sz w:val="18"/>
                <w:szCs w:val="18"/>
              </w:rPr>
              <w:t xml:space="preserve"> out (</w:t>
            </w:r>
            <w:r w:rsidRPr="00CB6878">
              <w:rPr>
                <w:sz w:val="18"/>
                <w:szCs w:val="18"/>
                <w:lang w:val="el-GR"/>
              </w:rPr>
              <w:t>και</w:t>
            </w:r>
            <w:r w:rsidRPr="00CB6878">
              <w:rPr>
                <w:sz w:val="18"/>
                <w:szCs w:val="18"/>
              </w:rPr>
              <w:t xml:space="preserve"> opt-in)</w:t>
            </w:r>
          </w:p>
        </w:tc>
        <w:tc>
          <w:tcPr>
            <w:tcW w:w="1336" w:type="dxa"/>
          </w:tcPr>
          <w:p w14:paraId="334F9C58" w14:textId="5425899E" w:rsidR="00CB6878" w:rsidRPr="00CB6878" w:rsidRDefault="00CB6878" w:rsidP="00CB6878">
            <w:pPr>
              <w:jc w:val="both"/>
              <w:rPr>
                <w:sz w:val="18"/>
                <w:szCs w:val="18"/>
              </w:rPr>
            </w:pPr>
            <w:proofErr w:type="spellStart"/>
            <w:r w:rsidRPr="00CB6878">
              <w:rPr>
                <w:sz w:val="18"/>
                <w:szCs w:val="18"/>
              </w:rPr>
              <w:t>Opt</w:t>
            </w:r>
            <w:proofErr w:type="spellEnd"/>
            <w:r w:rsidRPr="00CB6878">
              <w:rPr>
                <w:sz w:val="18"/>
                <w:szCs w:val="18"/>
              </w:rPr>
              <w:t xml:space="preserve"> out</w:t>
            </w:r>
          </w:p>
        </w:tc>
        <w:tc>
          <w:tcPr>
            <w:tcW w:w="1336" w:type="dxa"/>
          </w:tcPr>
          <w:p w14:paraId="102DBAFB" w14:textId="6DCEAF74" w:rsidR="00CB6878" w:rsidRPr="00CB6878" w:rsidRDefault="00CB6878" w:rsidP="00CB6878">
            <w:pPr>
              <w:jc w:val="both"/>
              <w:rPr>
                <w:sz w:val="18"/>
                <w:szCs w:val="18"/>
                <w:lang w:val="el-GR"/>
              </w:rPr>
            </w:pPr>
            <w:proofErr w:type="spellStart"/>
            <w:r w:rsidRPr="00CB6878">
              <w:rPr>
                <w:sz w:val="18"/>
                <w:szCs w:val="18"/>
              </w:rPr>
              <w:t>Opt</w:t>
            </w:r>
            <w:proofErr w:type="spellEnd"/>
            <w:r w:rsidRPr="00CB6878">
              <w:rPr>
                <w:sz w:val="18"/>
                <w:szCs w:val="18"/>
                <w:lang w:val="el-GR"/>
              </w:rPr>
              <w:t xml:space="preserve"> </w:t>
            </w:r>
            <w:r w:rsidRPr="00CB6878">
              <w:rPr>
                <w:sz w:val="18"/>
                <w:szCs w:val="18"/>
              </w:rPr>
              <w:t>out</w:t>
            </w:r>
            <w:r w:rsidRPr="00CB6878">
              <w:rPr>
                <w:sz w:val="18"/>
                <w:szCs w:val="18"/>
                <w:lang w:val="el-GR"/>
              </w:rPr>
              <w:t xml:space="preserve"> (καταργήθηκε </w:t>
            </w:r>
            <w:r w:rsidRPr="00CB6878">
              <w:rPr>
                <w:sz w:val="18"/>
                <w:szCs w:val="18"/>
                <w:lang w:val="el-GR"/>
              </w:rPr>
              <w:lastRenderedPageBreak/>
              <w:t>από την Εργατική κυβέρνηση)</w:t>
            </w:r>
          </w:p>
        </w:tc>
      </w:tr>
      <w:tr w:rsidR="00CB6878" w:rsidRPr="00CB6878" w14:paraId="037C475C" w14:textId="77777777" w:rsidTr="00CB6878">
        <w:tc>
          <w:tcPr>
            <w:tcW w:w="1335" w:type="dxa"/>
          </w:tcPr>
          <w:p w14:paraId="0892C758" w14:textId="1FF48ED8" w:rsidR="00CB6878" w:rsidRPr="00CB6878" w:rsidRDefault="00CB6878" w:rsidP="00CB6878">
            <w:pPr>
              <w:jc w:val="both"/>
              <w:rPr>
                <w:sz w:val="18"/>
                <w:szCs w:val="18"/>
                <w:lang w:val="el-GR"/>
              </w:rPr>
            </w:pPr>
            <w:r w:rsidRPr="00CB6878">
              <w:rPr>
                <w:sz w:val="18"/>
                <w:szCs w:val="18"/>
                <w:lang w:val="el-GR"/>
              </w:rPr>
              <w:lastRenderedPageBreak/>
              <w:t>Δανία</w:t>
            </w:r>
          </w:p>
        </w:tc>
        <w:tc>
          <w:tcPr>
            <w:tcW w:w="1335" w:type="dxa"/>
          </w:tcPr>
          <w:p w14:paraId="01F62D66" w14:textId="6C01463C" w:rsidR="00CB6878" w:rsidRPr="00CB6878" w:rsidRDefault="00CB6878" w:rsidP="00CB6878">
            <w:pPr>
              <w:jc w:val="both"/>
              <w:rPr>
                <w:sz w:val="18"/>
                <w:szCs w:val="18"/>
              </w:rPr>
            </w:pPr>
            <w:proofErr w:type="spellStart"/>
            <w:r w:rsidRPr="00CB6878">
              <w:rPr>
                <w:sz w:val="18"/>
                <w:szCs w:val="18"/>
              </w:rPr>
              <w:t>Opt</w:t>
            </w:r>
            <w:proofErr w:type="spellEnd"/>
            <w:r w:rsidRPr="00CB6878">
              <w:rPr>
                <w:sz w:val="18"/>
                <w:szCs w:val="18"/>
              </w:rPr>
              <w:t xml:space="preserve"> out</w:t>
            </w:r>
          </w:p>
        </w:tc>
        <w:tc>
          <w:tcPr>
            <w:tcW w:w="1336" w:type="dxa"/>
          </w:tcPr>
          <w:p w14:paraId="5C385EE5" w14:textId="77777777" w:rsidR="00CB6878" w:rsidRPr="00CB6878" w:rsidRDefault="00CB6878" w:rsidP="00CB6878">
            <w:pPr>
              <w:jc w:val="both"/>
              <w:rPr>
                <w:sz w:val="18"/>
                <w:szCs w:val="18"/>
              </w:rPr>
            </w:pPr>
          </w:p>
        </w:tc>
        <w:tc>
          <w:tcPr>
            <w:tcW w:w="1336" w:type="dxa"/>
          </w:tcPr>
          <w:p w14:paraId="799D63E9" w14:textId="46B10542" w:rsidR="00CB6878" w:rsidRPr="00CB6878" w:rsidRDefault="00CB6878" w:rsidP="00CB6878">
            <w:pPr>
              <w:jc w:val="both"/>
              <w:rPr>
                <w:sz w:val="18"/>
                <w:szCs w:val="18"/>
              </w:rPr>
            </w:pPr>
            <w:proofErr w:type="spellStart"/>
            <w:r w:rsidRPr="00CB6878">
              <w:rPr>
                <w:sz w:val="18"/>
                <w:szCs w:val="18"/>
              </w:rPr>
              <w:t>Opt</w:t>
            </w:r>
            <w:proofErr w:type="spellEnd"/>
            <w:r w:rsidRPr="00CB6878">
              <w:rPr>
                <w:sz w:val="18"/>
                <w:szCs w:val="18"/>
              </w:rPr>
              <w:t xml:space="preserve"> out</w:t>
            </w:r>
          </w:p>
        </w:tc>
        <w:tc>
          <w:tcPr>
            <w:tcW w:w="1336" w:type="dxa"/>
          </w:tcPr>
          <w:p w14:paraId="260EE7FE" w14:textId="412F4AA4" w:rsidR="00CB6878" w:rsidRPr="00CB6878" w:rsidRDefault="00CB6878" w:rsidP="00CB6878">
            <w:pPr>
              <w:jc w:val="both"/>
              <w:rPr>
                <w:sz w:val="18"/>
                <w:szCs w:val="18"/>
                <w:lang w:val="el-GR"/>
              </w:rPr>
            </w:pPr>
            <w:proofErr w:type="spellStart"/>
            <w:r w:rsidRPr="00CB6878">
              <w:rPr>
                <w:sz w:val="18"/>
                <w:szCs w:val="18"/>
              </w:rPr>
              <w:t>Opt</w:t>
            </w:r>
            <w:proofErr w:type="spellEnd"/>
            <w:r w:rsidRPr="00CB6878">
              <w:rPr>
                <w:sz w:val="18"/>
                <w:szCs w:val="18"/>
                <w:lang w:val="el-GR"/>
              </w:rPr>
              <w:t xml:space="preserve"> </w:t>
            </w:r>
            <w:r w:rsidRPr="00CB6878">
              <w:rPr>
                <w:sz w:val="18"/>
                <w:szCs w:val="18"/>
              </w:rPr>
              <w:t>out</w:t>
            </w:r>
            <w:r w:rsidRPr="00CB6878">
              <w:rPr>
                <w:sz w:val="18"/>
                <w:szCs w:val="18"/>
                <w:lang w:val="el-GR"/>
              </w:rPr>
              <w:t xml:space="preserve"> (και </w:t>
            </w:r>
            <w:r w:rsidRPr="00CB6878">
              <w:rPr>
                <w:sz w:val="18"/>
                <w:szCs w:val="18"/>
              </w:rPr>
              <w:t>opt</w:t>
            </w:r>
            <w:r w:rsidRPr="00CB6878">
              <w:rPr>
                <w:sz w:val="18"/>
                <w:szCs w:val="18"/>
                <w:lang w:val="el-GR"/>
              </w:rPr>
              <w:t>-</w:t>
            </w:r>
            <w:r w:rsidRPr="00CB6878">
              <w:rPr>
                <w:sz w:val="18"/>
                <w:szCs w:val="18"/>
              </w:rPr>
              <w:t>in</w:t>
            </w:r>
            <w:r>
              <w:rPr>
                <w:sz w:val="18"/>
                <w:szCs w:val="18"/>
                <w:lang w:val="el-GR"/>
              </w:rPr>
              <w:t xml:space="preserve"> μετά τη Συνθήκη της </w:t>
            </w:r>
            <w:proofErr w:type="spellStart"/>
            <w:r>
              <w:rPr>
                <w:sz w:val="18"/>
                <w:szCs w:val="18"/>
                <w:lang w:val="el-GR"/>
              </w:rPr>
              <w:t>Λισσαβώνας</w:t>
            </w:r>
            <w:proofErr w:type="spellEnd"/>
            <w:r w:rsidRPr="00CB6878">
              <w:rPr>
                <w:sz w:val="18"/>
                <w:szCs w:val="18"/>
                <w:lang w:val="el-GR"/>
              </w:rPr>
              <w:t>)</w:t>
            </w:r>
          </w:p>
        </w:tc>
        <w:tc>
          <w:tcPr>
            <w:tcW w:w="1336" w:type="dxa"/>
          </w:tcPr>
          <w:p w14:paraId="24E6C8FA" w14:textId="77777777" w:rsidR="00CB6878" w:rsidRPr="00CB6878" w:rsidRDefault="00CB6878" w:rsidP="00CB6878">
            <w:pPr>
              <w:jc w:val="both"/>
              <w:rPr>
                <w:sz w:val="18"/>
                <w:szCs w:val="18"/>
                <w:lang w:val="el-GR"/>
              </w:rPr>
            </w:pPr>
          </w:p>
        </w:tc>
        <w:tc>
          <w:tcPr>
            <w:tcW w:w="1336" w:type="dxa"/>
          </w:tcPr>
          <w:p w14:paraId="44B8E028" w14:textId="77777777" w:rsidR="00CB6878" w:rsidRPr="00CB6878" w:rsidRDefault="00CB6878" w:rsidP="00CB6878">
            <w:pPr>
              <w:jc w:val="both"/>
              <w:rPr>
                <w:sz w:val="18"/>
                <w:szCs w:val="18"/>
                <w:lang w:val="el-GR"/>
              </w:rPr>
            </w:pPr>
          </w:p>
        </w:tc>
      </w:tr>
      <w:tr w:rsidR="00CB6878" w:rsidRPr="00CB6878" w14:paraId="292610F0" w14:textId="77777777" w:rsidTr="00CB6878">
        <w:tc>
          <w:tcPr>
            <w:tcW w:w="1335" w:type="dxa"/>
          </w:tcPr>
          <w:p w14:paraId="14A137F1" w14:textId="152E7148" w:rsidR="00CB6878" w:rsidRPr="00CB6878" w:rsidRDefault="00CB6878" w:rsidP="00CB6878">
            <w:pPr>
              <w:jc w:val="both"/>
              <w:rPr>
                <w:sz w:val="18"/>
                <w:szCs w:val="18"/>
                <w:lang w:val="el-GR"/>
              </w:rPr>
            </w:pPr>
            <w:r w:rsidRPr="00CB6878">
              <w:rPr>
                <w:sz w:val="18"/>
                <w:szCs w:val="18"/>
                <w:lang w:val="el-GR"/>
              </w:rPr>
              <w:t>Πολωνία</w:t>
            </w:r>
          </w:p>
        </w:tc>
        <w:tc>
          <w:tcPr>
            <w:tcW w:w="1335" w:type="dxa"/>
          </w:tcPr>
          <w:p w14:paraId="07EBD984" w14:textId="77777777" w:rsidR="00CB6878" w:rsidRPr="00CB6878" w:rsidRDefault="00CB6878" w:rsidP="00CB6878">
            <w:pPr>
              <w:jc w:val="both"/>
              <w:rPr>
                <w:sz w:val="18"/>
                <w:szCs w:val="18"/>
                <w:lang w:val="el-GR"/>
              </w:rPr>
            </w:pPr>
          </w:p>
        </w:tc>
        <w:tc>
          <w:tcPr>
            <w:tcW w:w="1336" w:type="dxa"/>
          </w:tcPr>
          <w:p w14:paraId="7E0462EF" w14:textId="77777777" w:rsidR="00CB6878" w:rsidRPr="00CB6878" w:rsidRDefault="00CB6878" w:rsidP="00CB6878">
            <w:pPr>
              <w:jc w:val="both"/>
              <w:rPr>
                <w:sz w:val="18"/>
                <w:szCs w:val="18"/>
                <w:lang w:val="el-GR"/>
              </w:rPr>
            </w:pPr>
          </w:p>
        </w:tc>
        <w:tc>
          <w:tcPr>
            <w:tcW w:w="1336" w:type="dxa"/>
          </w:tcPr>
          <w:p w14:paraId="09545DB1" w14:textId="77777777" w:rsidR="00CB6878" w:rsidRPr="00CB6878" w:rsidRDefault="00CB6878" w:rsidP="00CB6878">
            <w:pPr>
              <w:jc w:val="both"/>
              <w:rPr>
                <w:sz w:val="18"/>
                <w:szCs w:val="18"/>
                <w:lang w:val="el-GR"/>
              </w:rPr>
            </w:pPr>
          </w:p>
        </w:tc>
        <w:tc>
          <w:tcPr>
            <w:tcW w:w="1336" w:type="dxa"/>
          </w:tcPr>
          <w:p w14:paraId="049B1450" w14:textId="77777777" w:rsidR="00CB6878" w:rsidRPr="00CB6878" w:rsidRDefault="00CB6878" w:rsidP="00CB6878">
            <w:pPr>
              <w:jc w:val="both"/>
              <w:rPr>
                <w:sz w:val="18"/>
                <w:szCs w:val="18"/>
                <w:lang w:val="el-GR"/>
              </w:rPr>
            </w:pPr>
          </w:p>
        </w:tc>
        <w:tc>
          <w:tcPr>
            <w:tcW w:w="1336" w:type="dxa"/>
          </w:tcPr>
          <w:p w14:paraId="4C66FFB4" w14:textId="336C54F1" w:rsidR="00CB6878" w:rsidRPr="00CB6878" w:rsidRDefault="00CB6878" w:rsidP="00CB6878">
            <w:pPr>
              <w:jc w:val="both"/>
              <w:rPr>
                <w:sz w:val="18"/>
                <w:szCs w:val="18"/>
                <w:lang w:val="el-GR"/>
              </w:rPr>
            </w:pPr>
            <w:proofErr w:type="spellStart"/>
            <w:r w:rsidRPr="00CB6878">
              <w:rPr>
                <w:sz w:val="18"/>
                <w:szCs w:val="18"/>
              </w:rPr>
              <w:t>Opt</w:t>
            </w:r>
            <w:proofErr w:type="spellEnd"/>
            <w:r w:rsidRPr="00CB6878">
              <w:rPr>
                <w:sz w:val="18"/>
                <w:szCs w:val="18"/>
              </w:rPr>
              <w:t xml:space="preserve"> out</w:t>
            </w:r>
          </w:p>
        </w:tc>
        <w:tc>
          <w:tcPr>
            <w:tcW w:w="1336" w:type="dxa"/>
          </w:tcPr>
          <w:p w14:paraId="266C7089" w14:textId="77777777" w:rsidR="00CB6878" w:rsidRPr="00CB6878" w:rsidRDefault="00CB6878" w:rsidP="00CB6878">
            <w:pPr>
              <w:jc w:val="both"/>
              <w:rPr>
                <w:sz w:val="18"/>
                <w:szCs w:val="18"/>
                <w:lang w:val="el-GR"/>
              </w:rPr>
            </w:pPr>
          </w:p>
        </w:tc>
      </w:tr>
      <w:tr w:rsidR="00CB6878" w:rsidRPr="00CB6878" w14:paraId="1230B35E" w14:textId="77777777" w:rsidTr="00CB6878">
        <w:tc>
          <w:tcPr>
            <w:tcW w:w="1335" w:type="dxa"/>
          </w:tcPr>
          <w:p w14:paraId="3E864638" w14:textId="1B3CAC9F" w:rsidR="00CB6878" w:rsidRPr="00CB6878" w:rsidRDefault="00CB6878" w:rsidP="00CB6878">
            <w:pPr>
              <w:jc w:val="both"/>
              <w:rPr>
                <w:sz w:val="18"/>
                <w:szCs w:val="18"/>
                <w:lang w:val="el-GR"/>
              </w:rPr>
            </w:pPr>
            <w:r>
              <w:rPr>
                <w:sz w:val="18"/>
                <w:szCs w:val="18"/>
                <w:lang w:val="el-GR"/>
              </w:rPr>
              <w:t>Σουηδία</w:t>
            </w:r>
          </w:p>
        </w:tc>
        <w:tc>
          <w:tcPr>
            <w:tcW w:w="1335" w:type="dxa"/>
          </w:tcPr>
          <w:p w14:paraId="4040A1C5" w14:textId="044318AA" w:rsidR="00CB6878" w:rsidRPr="00CB6878" w:rsidRDefault="00CB6878" w:rsidP="00CB6878">
            <w:pPr>
              <w:jc w:val="both"/>
              <w:rPr>
                <w:sz w:val="18"/>
                <w:szCs w:val="18"/>
                <w:lang w:val="el-GR"/>
              </w:rPr>
            </w:pPr>
            <w:r>
              <w:rPr>
                <w:sz w:val="18"/>
                <w:szCs w:val="18"/>
                <w:lang w:val="el-GR"/>
              </w:rPr>
              <w:t>Μη συμμετοχή</w:t>
            </w:r>
          </w:p>
        </w:tc>
        <w:tc>
          <w:tcPr>
            <w:tcW w:w="1336" w:type="dxa"/>
          </w:tcPr>
          <w:p w14:paraId="0A8ACABA" w14:textId="77777777" w:rsidR="00CB6878" w:rsidRPr="00CB6878" w:rsidRDefault="00CB6878" w:rsidP="00CB6878">
            <w:pPr>
              <w:jc w:val="both"/>
              <w:rPr>
                <w:sz w:val="18"/>
                <w:szCs w:val="18"/>
                <w:lang w:val="el-GR"/>
              </w:rPr>
            </w:pPr>
          </w:p>
        </w:tc>
        <w:tc>
          <w:tcPr>
            <w:tcW w:w="1336" w:type="dxa"/>
          </w:tcPr>
          <w:p w14:paraId="098FF1FA" w14:textId="77777777" w:rsidR="00CB6878" w:rsidRPr="00CB6878" w:rsidRDefault="00CB6878" w:rsidP="00CB6878">
            <w:pPr>
              <w:jc w:val="both"/>
              <w:rPr>
                <w:sz w:val="18"/>
                <w:szCs w:val="18"/>
                <w:lang w:val="el-GR"/>
              </w:rPr>
            </w:pPr>
          </w:p>
        </w:tc>
        <w:tc>
          <w:tcPr>
            <w:tcW w:w="1336" w:type="dxa"/>
          </w:tcPr>
          <w:p w14:paraId="7242C455" w14:textId="77777777" w:rsidR="00CB6878" w:rsidRPr="00CB6878" w:rsidRDefault="00CB6878" w:rsidP="00CB6878">
            <w:pPr>
              <w:jc w:val="both"/>
              <w:rPr>
                <w:sz w:val="18"/>
                <w:szCs w:val="18"/>
                <w:lang w:val="el-GR"/>
              </w:rPr>
            </w:pPr>
          </w:p>
        </w:tc>
        <w:tc>
          <w:tcPr>
            <w:tcW w:w="1336" w:type="dxa"/>
          </w:tcPr>
          <w:p w14:paraId="0672D9C8" w14:textId="77777777" w:rsidR="00CB6878" w:rsidRPr="00CB6878" w:rsidRDefault="00CB6878" w:rsidP="00CB6878">
            <w:pPr>
              <w:jc w:val="both"/>
              <w:rPr>
                <w:sz w:val="18"/>
                <w:szCs w:val="18"/>
              </w:rPr>
            </w:pPr>
          </w:p>
        </w:tc>
        <w:tc>
          <w:tcPr>
            <w:tcW w:w="1336" w:type="dxa"/>
          </w:tcPr>
          <w:p w14:paraId="7F198C84" w14:textId="77777777" w:rsidR="00CB6878" w:rsidRPr="00CB6878" w:rsidRDefault="00CB6878" w:rsidP="00CB6878">
            <w:pPr>
              <w:jc w:val="both"/>
              <w:rPr>
                <w:sz w:val="18"/>
                <w:szCs w:val="18"/>
                <w:lang w:val="el-GR"/>
              </w:rPr>
            </w:pPr>
          </w:p>
        </w:tc>
      </w:tr>
    </w:tbl>
    <w:p w14:paraId="0DB0519B" w14:textId="77777777" w:rsidR="009E7A5E" w:rsidRPr="00CB6878" w:rsidRDefault="009E7A5E" w:rsidP="00CB6878">
      <w:pPr>
        <w:jc w:val="both"/>
        <w:rPr>
          <w:lang w:val="el-GR"/>
        </w:rPr>
      </w:pPr>
    </w:p>
    <w:sectPr w:rsidR="009E7A5E" w:rsidRPr="00CB6878" w:rsidSect="003242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A34A2" w14:textId="77777777" w:rsidR="00850E44" w:rsidRDefault="00850E44" w:rsidP="00CB6878">
      <w:r>
        <w:separator/>
      </w:r>
    </w:p>
  </w:endnote>
  <w:endnote w:type="continuationSeparator" w:id="0">
    <w:p w14:paraId="6E156DA7" w14:textId="77777777" w:rsidR="00850E44" w:rsidRDefault="00850E44" w:rsidP="00CB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5BF05" w14:textId="77777777" w:rsidR="00850E44" w:rsidRDefault="00850E44" w:rsidP="00CB6878">
      <w:r>
        <w:separator/>
      </w:r>
    </w:p>
  </w:footnote>
  <w:footnote w:type="continuationSeparator" w:id="0">
    <w:p w14:paraId="355F9A48" w14:textId="77777777" w:rsidR="00850E44" w:rsidRDefault="00850E44" w:rsidP="00CB6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C3"/>
    <w:rsid w:val="002B04D3"/>
    <w:rsid w:val="00324206"/>
    <w:rsid w:val="0041645C"/>
    <w:rsid w:val="0069548A"/>
    <w:rsid w:val="006B4565"/>
    <w:rsid w:val="00850E44"/>
    <w:rsid w:val="009E7A5E"/>
    <w:rsid w:val="00CB6878"/>
    <w:rsid w:val="00D567BE"/>
    <w:rsid w:val="00E2590D"/>
    <w:rsid w:val="00E9019D"/>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96859B"/>
  <w15:chartTrackingRefBased/>
  <w15:docId w15:val="{89FC100A-094E-414A-B8D8-5EEE5576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6878"/>
    <w:rPr>
      <w:sz w:val="20"/>
      <w:szCs w:val="20"/>
    </w:rPr>
  </w:style>
  <w:style w:type="character" w:customStyle="1" w:styleId="FootnoteTextChar">
    <w:name w:val="Footnote Text Char"/>
    <w:basedOn w:val="DefaultParagraphFont"/>
    <w:link w:val="FootnoteText"/>
    <w:uiPriority w:val="99"/>
    <w:semiHidden/>
    <w:rsid w:val="00CB6878"/>
    <w:rPr>
      <w:sz w:val="20"/>
      <w:szCs w:val="20"/>
    </w:rPr>
  </w:style>
  <w:style w:type="character" w:styleId="FootnoteReference">
    <w:name w:val="footnote reference"/>
    <w:basedOn w:val="DefaultParagraphFont"/>
    <w:uiPriority w:val="99"/>
    <w:semiHidden/>
    <w:unhideWhenUsed/>
    <w:rsid w:val="00CB6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Papageorgiou</dc:creator>
  <cp:keywords/>
  <dc:description/>
  <cp:lastModifiedBy>Ioannis Papageorgiou</cp:lastModifiedBy>
  <cp:revision>1</cp:revision>
  <dcterms:created xsi:type="dcterms:W3CDTF">2020-05-07T04:23:00Z</dcterms:created>
  <dcterms:modified xsi:type="dcterms:W3CDTF">2020-05-07T05:55:00Z</dcterms:modified>
</cp:coreProperties>
</file>